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2.2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48"/>
          <w:szCs w:val="48"/>
          <w:lang w:eastAsia="zh-CN"/>
        </w:rPr>
        <w:t>安徽省暖通空调协会资质申请流程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drawing>
          <wp:inline distT="0" distB="0" distL="114300" distR="114300">
            <wp:extent cx="5182235" cy="7964805"/>
            <wp:effectExtent l="0" t="0" r="14605" b="5715"/>
            <wp:docPr id="1" name="图片 1" descr="安徽省暖通空调协会资质申请流程20200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安徽省暖通空调协会资质申请流程20200907"/>
                    <pic:cNvPicPr>
                      <a:picLocks noChangeAspect="1"/>
                    </pic:cNvPicPr>
                  </pic:nvPicPr>
                  <pic:blipFill>
                    <a:blip r:embed="rId4"/>
                    <a:srcRect t="6710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796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8783F"/>
    <w:rsid w:val="1BB8783F"/>
    <w:rsid w:val="4692389F"/>
    <w:rsid w:val="6F3B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2020-09-07T07:59:00Z</dcterms:created>
  <dc:creator>房间画月</dc:creator>
  <cp:lastModifiedBy>房间画月</cp:lastModifiedBy>
  <dcterms:modified xsi:type="dcterms:W3CDTF">2020-10-23T02:54:55Z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